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42AF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Директору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 xml:space="preserve">г-ну </w:t>
      </w:r>
      <w:proofErr w:type="spellStart"/>
      <w:r w:rsidRPr="003A42AF">
        <w:rPr>
          <w:rFonts w:ascii="Times New Roman" w:hAnsi="Times New Roman" w:cs="Times New Roman"/>
          <w:sz w:val="28"/>
          <w:szCs w:val="28"/>
        </w:rPr>
        <w:t>Монахову</w:t>
      </w:r>
      <w:proofErr w:type="spellEnd"/>
      <w:r w:rsidRPr="003A42AF">
        <w:rPr>
          <w:rFonts w:ascii="Times New Roman" w:hAnsi="Times New Roman" w:cs="Times New Roman"/>
          <w:sz w:val="28"/>
          <w:szCs w:val="28"/>
        </w:rPr>
        <w:t xml:space="preserve"> Ивану Андреевичу</w:t>
      </w:r>
    </w:p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Дата:</w:t>
      </w:r>
    </w:p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Исх. №:</w:t>
      </w:r>
    </w:p>
    <w:p w:rsidR="003A42AF" w:rsidRPr="003A42AF" w:rsidRDefault="003A42A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AF" w:rsidRPr="003A42AF" w:rsidRDefault="003A42A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AF" w:rsidRPr="003A42AF" w:rsidRDefault="003A42A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CF" w:rsidRPr="003A42AF" w:rsidRDefault="003009C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AF">
        <w:rPr>
          <w:rFonts w:ascii="Times New Roman" w:hAnsi="Times New Roman" w:cs="Times New Roman"/>
          <w:b/>
          <w:sz w:val="28"/>
          <w:szCs w:val="28"/>
        </w:rPr>
        <w:t>Основные условия предоставления займа</w:t>
      </w:r>
    </w:p>
    <w:p w:rsidR="003009CF" w:rsidRPr="003A42AF" w:rsidRDefault="003009CF" w:rsidP="003009CF">
      <w:pPr>
        <w:rPr>
          <w:rFonts w:ascii="Times New Roman" w:hAnsi="Times New Roman" w:cs="Times New Roman"/>
          <w:b/>
          <w:sz w:val="28"/>
          <w:szCs w:val="28"/>
        </w:rPr>
      </w:pPr>
    </w:p>
    <w:p w:rsidR="003009CF" w:rsidRPr="003A42AF" w:rsidRDefault="003009CF" w:rsidP="00B01E2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A42AF" w:rsidRPr="003A42AF">
        <w:rPr>
          <w:rFonts w:ascii="Times New Roman" w:hAnsi="Times New Roman" w:cs="Times New Roman"/>
          <w:i/>
          <w:sz w:val="28"/>
          <w:szCs w:val="28"/>
        </w:rPr>
        <w:t xml:space="preserve">«______________» </w:t>
      </w:r>
      <w:r w:rsidR="003A42AF" w:rsidRPr="003A42AF">
        <w:rPr>
          <w:rFonts w:ascii="Times New Roman" w:hAnsi="Times New Roman" w:cs="Times New Roman"/>
          <w:i/>
          <w:color w:val="FF0000"/>
          <w:sz w:val="28"/>
          <w:szCs w:val="28"/>
        </w:rPr>
        <w:t>(полное наименование организации, адрес юридического лица, ОГРН, ИНН, КПП, адрес юридического лица)</w:t>
      </w:r>
      <w:r w:rsidRPr="003A42AF">
        <w:rPr>
          <w:rFonts w:ascii="Times New Roman" w:hAnsi="Times New Roman" w:cs="Times New Roman"/>
          <w:sz w:val="28"/>
          <w:szCs w:val="28"/>
        </w:rPr>
        <w:t xml:space="preserve"> утверждает основные условия предоставления займа Фондом развития промышленности Тверской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09CF" w:rsidRPr="003A42AF" w:rsidTr="003009CF">
        <w:tc>
          <w:tcPr>
            <w:tcW w:w="9345" w:type="dxa"/>
            <w:gridSpan w:val="3"/>
            <w:shd w:val="clear" w:color="auto" w:fill="D9D9D9" w:themeFill="background1" w:themeFillShade="D9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 условия займа</w:t>
            </w:r>
          </w:p>
        </w:tc>
      </w:tr>
      <w:tr w:rsidR="003009CF" w:rsidRPr="003A42AF" w:rsidTr="001B4B88">
        <w:tc>
          <w:tcPr>
            <w:tcW w:w="3115" w:type="dxa"/>
          </w:tcPr>
          <w:p w:rsidR="003009CF" w:rsidRPr="003A42AF" w:rsidRDefault="003009CF" w:rsidP="00220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Наименование </w:t>
            </w:r>
            <w:r w:rsidR="00220681"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230" w:type="dxa"/>
            <w:gridSpan w:val="2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CF" w:rsidRPr="003A42AF" w:rsidTr="00615EFE">
        <w:tc>
          <w:tcPr>
            <w:tcW w:w="3115" w:type="dxa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2. Заёмщик</w:t>
            </w:r>
          </w:p>
        </w:tc>
        <w:tc>
          <w:tcPr>
            <w:tcW w:w="6230" w:type="dxa"/>
            <w:gridSpan w:val="2"/>
          </w:tcPr>
          <w:p w:rsidR="003009CF" w:rsidRPr="003A42AF" w:rsidRDefault="00220681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3009CF" w:rsidRPr="003A42AF" w:rsidRDefault="003009C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3009CF" w:rsidRPr="003A42AF" w:rsidRDefault="003009CF" w:rsidP="0022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ИНН  </w:t>
            </w:r>
          </w:p>
        </w:tc>
      </w:tr>
      <w:tr w:rsidR="003009CF" w:rsidRPr="003A42AF" w:rsidTr="00802581">
        <w:tc>
          <w:tcPr>
            <w:tcW w:w="3115" w:type="dxa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3. Сумма финансирования</w:t>
            </w:r>
          </w:p>
        </w:tc>
        <w:tc>
          <w:tcPr>
            <w:tcW w:w="6230" w:type="dxa"/>
            <w:gridSpan w:val="2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E21" w:rsidRPr="003A42AF" w:rsidTr="00C92C78">
        <w:tc>
          <w:tcPr>
            <w:tcW w:w="3115" w:type="dxa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4. Период предоставления займа</w:t>
            </w:r>
          </w:p>
        </w:tc>
        <w:tc>
          <w:tcPr>
            <w:tcW w:w="6230" w:type="dxa"/>
            <w:gridSpan w:val="2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</w:tr>
      <w:tr w:rsidR="00B01E21" w:rsidRPr="003A42AF" w:rsidTr="008A6A39">
        <w:tc>
          <w:tcPr>
            <w:tcW w:w="3115" w:type="dxa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5. Порядок погашения основного долга</w:t>
            </w:r>
          </w:p>
        </w:tc>
        <w:tc>
          <w:tcPr>
            <w:tcW w:w="6230" w:type="dxa"/>
            <w:gridSpan w:val="2"/>
          </w:tcPr>
          <w:p w:rsidR="00983BFA" w:rsidRPr="003A42AF" w:rsidRDefault="00826A16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555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739" w:rsidRPr="003A42A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E4739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Равными частями, ежемесячно, до 20 числа </w:t>
            </w:r>
            <w:r w:rsidR="00C97200" w:rsidRPr="003A42AF">
              <w:rPr>
                <w:rFonts w:ascii="Times New Roman" w:hAnsi="Times New Roman" w:cs="Times New Roman"/>
                <w:sz w:val="28"/>
                <w:szCs w:val="28"/>
              </w:rPr>
              <w:t>текущего месяца</w:t>
            </w:r>
            <w:r w:rsidR="000E4739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и на дату окончательного погашения.</w:t>
            </w:r>
          </w:p>
          <w:p w:rsidR="000E4739" w:rsidRPr="003A42AF" w:rsidRDefault="00826A16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9755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739" w:rsidRPr="003A42A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E4739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Равными частями, ежеквартально 20 числа последнего месяца квартала и на дату окончательного погашения.</w:t>
            </w:r>
          </w:p>
          <w:p w:rsidR="000E4739" w:rsidRPr="003A42AF" w:rsidRDefault="00826A16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9689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739" w:rsidRPr="003A42A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E4739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Всю сумму долга однократно на дату окончательного погашения.</w:t>
            </w:r>
          </w:p>
        </w:tc>
      </w:tr>
      <w:tr w:rsidR="00B01E21" w:rsidRPr="003A42AF" w:rsidTr="000209E1">
        <w:tc>
          <w:tcPr>
            <w:tcW w:w="3115" w:type="dxa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6. Процентная ставка</w:t>
            </w:r>
          </w:p>
        </w:tc>
        <w:tc>
          <w:tcPr>
            <w:tcW w:w="6230" w:type="dxa"/>
            <w:gridSpan w:val="2"/>
          </w:tcPr>
          <w:p w:rsidR="00B01E21" w:rsidRPr="003A42AF" w:rsidRDefault="00983BFA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1,5% годовых</w:t>
            </w:r>
          </w:p>
        </w:tc>
      </w:tr>
      <w:tr w:rsidR="005A4969" w:rsidRPr="003A42AF" w:rsidTr="00C7123D">
        <w:tc>
          <w:tcPr>
            <w:tcW w:w="3115" w:type="dxa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7. Порядок уплаты процентов</w:t>
            </w:r>
          </w:p>
        </w:tc>
        <w:tc>
          <w:tcPr>
            <w:tcW w:w="6230" w:type="dxa"/>
            <w:gridSpan w:val="2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Ежеквартально 20 числа последнего месяца квартала и на дату окончательного погашения.</w:t>
            </w:r>
          </w:p>
        </w:tc>
      </w:tr>
      <w:tr w:rsidR="005A4969" w:rsidRPr="003A42AF" w:rsidTr="00C95CA6">
        <w:tc>
          <w:tcPr>
            <w:tcW w:w="9345" w:type="dxa"/>
            <w:gridSpan w:val="3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8. Ответственность за нарушения условий предоставления займа</w:t>
            </w:r>
          </w:p>
        </w:tc>
      </w:tr>
      <w:tr w:rsidR="005A4969" w:rsidRPr="003A42AF" w:rsidTr="00CB482A">
        <w:tc>
          <w:tcPr>
            <w:tcW w:w="3115" w:type="dxa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процентной ставки за пользование займов в случае нецелевого использования</w:t>
            </w:r>
          </w:p>
        </w:tc>
        <w:tc>
          <w:tcPr>
            <w:tcW w:w="6230" w:type="dxa"/>
            <w:gridSpan w:val="2"/>
          </w:tcPr>
          <w:p w:rsidR="005A4969" w:rsidRPr="003A42AF" w:rsidRDefault="00BE1A2E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Фонд вправе потребовать уплатить вместо процентов, указанных в стандарте программы «Оборотный капитал», проценты за пользование суммой займа (или его части, соответственно) в размере ключевой ставки Банка России, действующей в период с момента выдачи займа и до момента его полного возврата Фонду при выявлении Фондом факта нецелевого использования Заемщиком суммы займа (или его части).</w:t>
            </w:r>
          </w:p>
        </w:tc>
      </w:tr>
      <w:tr w:rsidR="004C1544" w:rsidRPr="003A42AF" w:rsidTr="002554B6">
        <w:tc>
          <w:tcPr>
            <w:tcW w:w="9345" w:type="dxa"/>
            <w:gridSpan w:val="3"/>
          </w:tcPr>
          <w:p w:rsidR="004C1544" w:rsidRPr="003A42AF" w:rsidRDefault="004C1544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9. Отлагательные условия:</w:t>
            </w:r>
          </w:p>
          <w:p w:rsidR="004C1544" w:rsidRPr="003A42AF" w:rsidRDefault="004C1544" w:rsidP="00EB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 Заемщиком договора займа и связанных с ним договоров (залога, иных) и последующее перечисление Заемщику денежных средств по договору займа производится Фондом при наличии свободного остатка (на дату перечисления суммы займа на счет заемщика) средств субсидии, предоставленной из </w:t>
            </w:r>
            <w:r w:rsidR="00EB561C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бюджета Фонду для финансового обеспечения проектов, о чем Фонд известил Заемщика заранее, а Заемщик принял данное отлагательное условие без возражений. Факт извещения подтвержден Сторонами подписанием настоящих Основных условий предоставления займа</w:t>
            </w:r>
            <w:r w:rsidR="00EB561C" w:rsidRPr="003A4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61C" w:rsidRPr="003A42AF" w:rsidTr="00B20C9F">
        <w:tc>
          <w:tcPr>
            <w:tcW w:w="9345" w:type="dxa"/>
            <w:gridSpan w:val="3"/>
          </w:tcPr>
          <w:p w:rsidR="00EB561C" w:rsidRPr="003A42AF" w:rsidRDefault="00EB561C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(на всю сумму основного долга и причитающихся за весь период его пользования процентов):</w:t>
            </w:r>
          </w:p>
        </w:tc>
      </w:tr>
      <w:tr w:rsidR="005A4969" w:rsidRPr="003A42AF" w:rsidTr="00EB561C">
        <w:tc>
          <w:tcPr>
            <w:tcW w:w="3115" w:type="dxa"/>
            <w:vAlign w:val="center"/>
          </w:tcPr>
          <w:p w:rsidR="005A4969" w:rsidRPr="003A42AF" w:rsidRDefault="00EB561C" w:rsidP="00EB5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Виды обеспечения</w:t>
            </w:r>
          </w:p>
        </w:tc>
        <w:tc>
          <w:tcPr>
            <w:tcW w:w="3115" w:type="dxa"/>
            <w:vAlign w:val="center"/>
          </w:tcPr>
          <w:p w:rsidR="005A4969" w:rsidRPr="003A42AF" w:rsidRDefault="00EB561C" w:rsidP="00EB5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Лицо, предоставившее обеспечение</w:t>
            </w:r>
          </w:p>
        </w:tc>
        <w:tc>
          <w:tcPr>
            <w:tcW w:w="3115" w:type="dxa"/>
            <w:vAlign w:val="center"/>
          </w:tcPr>
          <w:p w:rsidR="005A4969" w:rsidRPr="003A42AF" w:rsidRDefault="00EB561C" w:rsidP="00EB5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Залоговая стоимость/сумма поручительства, руб.</w:t>
            </w:r>
          </w:p>
        </w:tc>
      </w:tr>
      <w:tr w:rsidR="005A4969" w:rsidRPr="003A42AF" w:rsidTr="003009CF">
        <w:tc>
          <w:tcPr>
            <w:tcW w:w="3115" w:type="dxa"/>
          </w:tcPr>
          <w:p w:rsidR="005A4969" w:rsidRPr="003A42AF" w:rsidRDefault="00EB561C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Независимая гарантия кредитной организации*</w:t>
            </w:r>
          </w:p>
        </w:tc>
        <w:tc>
          <w:tcPr>
            <w:tcW w:w="3115" w:type="dxa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4969" w:rsidRPr="003A42AF" w:rsidRDefault="005A4969" w:rsidP="00EB5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1C" w:rsidRPr="003A42AF" w:rsidTr="00FD788C">
        <w:tc>
          <w:tcPr>
            <w:tcW w:w="9345" w:type="dxa"/>
            <w:gridSpan w:val="3"/>
          </w:tcPr>
          <w:p w:rsidR="00EB561C" w:rsidRPr="003A42AF" w:rsidRDefault="00F020A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B561C" w:rsidRPr="003A42AF">
              <w:rPr>
                <w:rFonts w:ascii="Times New Roman" w:hAnsi="Times New Roman" w:cs="Times New Roman"/>
                <w:sz w:val="28"/>
                <w:szCs w:val="28"/>
              </w:rPr>
              <w:t>Безусловная, безотзывная, срок действия гарантии должен превышать срок обязательства по возврату займа на 1 месяц, обязательства гаранта могут быть уменьшены на любую сумму, списанную бенефициаром по гарантии. Сумма гарантии может быть уменьшены на любую сумму, списанную бенефициаром по гарантии и/или уплаченную Заемщиком по договору займа. В отношении Фонда развития промышленности Тверской области.</w:t>
            </w:r>
          </w:p>
        </w:tc>
      </w:tr>
      <w:tr w:rsidR="00F020AF" w:rsidRPr="003A42AF" w:rsidTr="00204628">
        <w:tc>
          <w:tcPr>
            <w:tcW w:w="9345" w:type="dxa"/>
            <w:gridSpan w:val="3"/>
          </w:tcPr>
          <w:p w:rsidR="00F020AF" w:rsidRPr="003A42AF" w:rsidRDefault="00F020A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3A4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Ковенанты</w:t>
            </w:r>
            <w:proofErr w:type="spellEnd"/>
          </w:p>
        </w:tc>
      </w:tr>
      <w:tr w:rsidR="00F020AF" w:rsidRPr="003A42AF" w:rsidTr="006764D8">
        <w:tc>
          <w:tcPr>
            <w:tcW w:w="9345" w:type="dxa"/>
            <w:gridSpan w:val="3"/>
          </w:tcPr>
          <w:p w:rsidR="00F020AF" w:rsidRPr="003A42AF" w:rsidRDefault="00F020A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Типовые </w:t>
            </w:r>
            <w:proofErr w:type="spellStart"/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ковенанты</w:t>
            </w:r>
            <w:proofErr w:type="spellEnd"/>
          </w:p>
        </w:tc>
      </w:tr>
      <w:tr w:rsidR="00F020AF" w:rsidRPr="003A42AF" w:rsidTr="00A71410">
        <w:tc>
          <w:tcPr>
            <w:tcW w:w="9345" w:type="dxa"/>
            <w:gridSpan w:val="3"/>
          </w:tcPr>
          <w:p w:rsidR="00F020AF" w:rsidRPr="003A42AF" w:rsidRDefault="00F020A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1) неисполнение или ненадлежащее исполнение Заемщиком обязательств перед Фондом по Договору, в </w:t>
            </w:r>
            <w:proofErr w:type="spellStart"/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. несвоевременное/неполное исполнение денежных обязательств, несвоевременное предоставление отчетности, предоставление Фонду недостоверной отчетности, использование займа (части займа) не по целевому назначению;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утрата/ухудшение обеспечения исполнения обязательств по Договору или условий такого обеспечения (включая несоответствие требованию о 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достаточности), в случае, если Заемщик не предоставит в сроки, установленные Стандартами Фонда, иное обеспечение;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принятие в отношении Заемщика/лица, предоставившего обеспечение исполнения обязательств Заемщика по Договору (поручителя, гаранта), а также лица, акции (доли) которого приняты в залог Фондом, органом управления такого лица или уполномоченным государственным (муниципальным) органом решения о реорганизации (за исключением реорганизации в форме преобразования, присоединения, слияния);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выявление Фондом факта предоставления Заемщиком недостоверной информации, заявлений или гарантий;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отмена, аннулирование, приостановление или иное ограничение в действии какого-либо разрешения или лицензии Заемщика и/или лица (лиц), предоставившего обеспечение, которое препятствует должному исполнению или делает невозможным исполнение обязательств по возврату Займа или реализации Проекта;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>) изменение контроля над Заемщиком без согласования с Фондом</w:t>
            </w:r>
          </w:p>
        </w:tc>
      </w:tr>
    </w:tbl>
    <w:p w:rsidR="003009CF" w:rsidRDefault="003009CF" w:rsidP="000217A0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26A16" w:rsidRDefault="00826A16" w:rsidP="000217A0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26A16" w:rsidRDefault="00826A16" w:rsidP="00826A16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826A16" w:rsidTr="009D09B5">
        <w:tc>
          <w:tcPr>
            <w:tcW w:w="4785" w:type="dxa"/>
          </w:tcPr>
          <w:p w:rsidR="00826A16" w:rsidRPr="002060B1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16" w:rsidTr="009D09B5">
        <w:tc>
          <w:tcPr>
            <w:tcW w:w="4785" w:type="dxa"/>
          </w:tcPr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21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A16" w:rsidRPr="003A42AF" w:rsidRDefault="00826A16" w:rsidP="000217A0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A16" w:rsidRPr="003A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038"/>
    <w:multiLevelType w:val="hybridMultilevel"/>
    <w:tmpl w:val="FF98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44102"/>
    <w:multiLevelType w:val="hybridMultilevel"/>
    <w:tmpl w:val="D23E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2A"/>
    <w:rsid w:val="000217A0"/>
    <w:rsid w:val="00031CAB"/>
    <w:rsid w:val="000E4739"/>
    <w:rsid w:val="001B15A2"/>
    <w:rsid w:val="00220681"/>
    <w:rsid w:val="002332DF"/>
    <w:rsid w:val="003009CF"/>
    <w:rsid w:val="003A42AF"/>
    <w:rsid w:val="004C1544"/>
    <w:rsid w:val="004F0D2A"/>
    <w:rsid w:val="005A4969"/>
    <w:rsid w:val="005D7180"/>
    <w:rsid w:val="0075377C"/>
    <w:rsid w:val="007A44A6"/>
    <w:rsid w:val="00826A16"/>
    <w:rsid w:val="00983BFA"/>
    <w:rsid w:val="00B01E21"/>
    <w:rsid w:val="00BE1A2E"/>
    <w:rsid w:val="00C97200"/>
    <w:rsid w:val="00EB561C"/>
    <w:rsid w:val="00EF5F9D"/>
    <w:rsid w:val="00F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DD38"/>
  <w15:chartTrackingRefBased/>
  <w15:docId w15:val="{7AC261A2-1067-4041-9D7E-F1EEC24C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9CF"/>
    <w:pPr>
      <w:ind w:left="720"/>
      <w:contextualSpacing/>
    </w:pPr>
  </w:style>
  <w:style w:type="paragraph" w:customStyle="1" w:styleId="11">
    <w:name w:val="ОбНум1.1"/>
    <w:basedOn w:val="a"/>
    <w:link w:val="110"/>
    <w:qFormat/>
    <w:rsid w:val="00BE1A2E"/>
    <w:pPr>
      <w:numPr>
        <w:ilvl w:val="1"/>
      </w:numPr>
      <w:tabs>
        <w:tab w:val="left" w:pos="709"/>
      </w:tabs>
      <w:spacing w:after="0" w:line="240" w:lineRule="auto"/>
      <w:ind w:firstLine="567"/>
      <w:contextualSpacing/>
      <w:jc w:val="both"/>
    </w:pPr>
    <w:rPr>
      <w:rFonts w:ascii="Arial" w:hAnsi="Arial"/>
      <w:sz w:val="24"/>
      <w:szCs w:val="24"/>
      <w:lang w:eastAsia="ru-RU"/>
    </w:rPr>
  </w:style>
  <w:style w:type="character" w:customStyle="1" w:styleId="110">
    <w:name w:val="ОбНум1.1 Знак"/>
    <w:basedOn w:val="a0"/>
    <w:link w:val="11"/>
    <w:rsid w:val="00BE1A2E"/>
    <w:rPr>
      <w:rFonts w:ascii="Arial" w:hAnsi="Arial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3BF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BF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B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BF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BF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User</cp:lastModifiedBy>
  <cp:revision>16</cp:revision>
  <dcterms:created xsi:type="dcterms:W3CDTF">2019-12-10T12:42:00Z</dcterms:created>
  <dcterms:modified xsi:type="dcterms:W3CDTF">2020-04-26T16:55:00Z</dcterms:modified>
</cp:coreProperties>
</file>